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9672D" w14:textId="77777777" w:rsidR="00FB3456" w:rsidRDefault="00FB3456" w:rsidP="00FB3456">
      <w:pPr>
        <w:spacing w:after="100" w:afterAutospacing="1" w:line="240" w:lineRule="auto"/>
        <w:outlineLvl w:val="1"/>
        <w:rPr>
          <w:rFonts w:eastAsia="Times New Roman"/>
          <w:b/>
          <w:bCs/>
          <w:color w:val="auto"/>
          <w:kern w:val="0"/>
          <w:sz w:val="36"/>
          <w:szCs w:val="36"/>
          <w14:ligatures w14:val="none"/>
        </w:rPr>
      </w:pPr>
    </w:p>
    <w:p w14:paraId="17534468" w14:textId="226E240A" w:rsidR="00FB3456" w:rsidRPr="00FB3456" w:rsidRDefault="00FB3456" w:rsidP="00FB3456">
      <w:pPr>
        <w:spacing w:after="100" w:afterAutospacing="1" w:line="240" w:lineRule="auto"/>
        <w:jc w:val="center"/>
        <w:outlineLvl w:val="1"/>
        <w:rPr>
          <w:rFonts w:eastAsia="Times New Roman"/>
          <w:b/>
          <w:bCs/>
          <w:color w:val="auto"/>
          <w:kern w:val="0"/>
          <w:sz w:val="36"/>
          <w:szCs w:val="36"/>
          <w14:ligatures w14:val="none"/>
        </w:rPr>
      </w:pPr>
      <w:r w:rsidRPr="00FB3456">
        <w:rPr>
          <w:rFonts w:eastAsia="Times New Roman"/>
          <w:b/>
          <w:bCs/>
          <w:color w:val="auto"/>
          <w:kern w:val="0"/>
          <w:sz w:val="36"/>
          <w:szCs w:val="36"/>
          <w14:ligatures w14:val="none"/>
        </w:rPr>
        <w:t>Why Choose Medicare Supplement Plan N?</w:t>
      </w:r>
    </w:p>
    <w:p w14:paraId="707413A8" w14:textId="77777777" w:rsidR="00FB3456" w:rsidRPr="00FB3456" w:rsidRDefault="00FB3456" w:rsidP="00FB3456">
      <w:pPr>
        <w:spacing w:after="100" w:afterAutospacing="1" w:line="240" w:lineRule="auto"/>
        <w:outlineLvl w:val="2"/>
        <w:rPr>
          <w:rFonts w:eastAsia="Times New Roman"/>
          <w:b/>
          <w:bCs/>
          <w:color w:val="auto"/>
          <w:kern w:val="0"/>
          <w:sz w:val="27"/>
          <w:szCs w:val="27"/>
          <w14:ligatures w14:val="none"/>
        </w:rPr>
      </w:pPr>
      <w:r w:rsidRPr="00FB3456">
        <w:rPr>
          <w:rFonts w:eastAsia="Times New Roman"/>
          <w:b/>
          <w:bCs/>
          <w:color w:val="auto"/>
          <w:kern w:val="0"/>
          <w:sz w:val="27"/>
          <w:szCs w:val="27"/>
          <w14:ligatures w14:val="none"/>
        </w:rPr>
        <w:t>Plan N Overview</w:t>
      </w:r>
    </w:p>
    <w:p w14:paraId="302317FB" w14:textId="77777777" w:rsidR="00FB3456" w:rsidRPr="00FB3456" w:rsidRDefault="00FB3456" w:rsidP="00FB3456">
      <w:pPr>
        <w:spacing w:after="100" w:afterAutospacing="1" w:line="240" w:lineRule="auto"/>
        <w:rPr>
          <w:rFonts w:eastAsia="Times New Roman"/>
          <w:color w:val="auto"/>
          <w:kern w:val="0"/>
          <w:sz w:val="24"/>
          <w:szCs w:val="24"/>
          <w14:ligatures w14:val="none"/>
        </w:rPr>
      </w:pPr>
      <w:r w:rsidRPr="00FB3456">
        <w:rPr>
          <w:rFonts w:eastAsia="Times New Roman"/>
          <w:color w:val="auto"/>
          <w:kern w:val="0"/>
          <w:sz w:val="24"/>
          <w:szCs w:val="24"/>
          <w14:ligatures w14:val="none"/>
        </w:rPr>
        <w:t xml:space="preserve">Your out-of-pocket costs are predictable when your provider accepts Medicare assignment. In that case, your responsibility includes: </w:t>
      </w:r>
    </w:p>
    <w:p w14:paraId="4D5BCD14" w14:textId="77777777" w:rsidR="00FB3456" w:rsidRPr="00FB3456" w:rsidRDefault="00FB3456" w:rsidP="00FB3456">
      <w:pPr>
        <w:numPr>
          <w:ilvl w:val="0"/>
          <w:numId w:val="2"/>
        </w:numPr>
        <w:spacing w:after="100" w:afterAutospacing="1" w:line="240" w:lineRule="auto"/>
        <w:rPr>
          <w:rFonts w:eastAsia="Times New Roman"/>
          <w:color w:val="auto"/>
          <w:kern w:val="0"/>
          <w:sz w:val="24"/>
          <w:szCs w:val="24"/>
          <w14:ligatures w14:val="none"/>
        </w:rPr>
      </w:pPr>
      <w:r w:rsidRPr="00FB3456">
        <w:rPr>
          <w:rFonts w:eastAsia="Times New Roman"/>
          <w:color w:val="auto"/>
          <w:kern w:val="0"/>
          <w:sz w:val="24"/>
          <w:szCs w:val="24"/>
          <w14:ligatures w14:val="none"/>
        </w:rPr>
        <w:t xml:space="preserve">Your plan premium </w:t>
      </w:r>
    </w:p>
    <w:p w14:paraId="55D74A63" w14:textId="77777777" w:rsidR="00FB3456" w:rsidRPr="00FB3456" w:rsidRDefault="00FB3456" w:rsidP="00FB3456">
      <w:pPr>
        <w:numPr>
          <w:ilvl w:val="0"/>
          <w:numId w:val="2"/>
        </w:numPr>
        <w:spacing w:after="100" w:afterAutospacing="1" w:line="240" w:lineRule="auto"/>
        <w:rPr>
          <w:rFonts w:eastAsia="Times New Roman"/>
          <w:color w:val="auto"/>
          <w:kern w:val="0"/>
          <w:sz w:val="24"/>
          <w:szCs w:val="24"/>
          <w14:ligatures w14:val="none"/>
        </w:rPr>
      </w:pPr>
      <w:r w:rsidRPr="00FB3456">
        <w:rPr>
          <w:rFonts w:eastAsia="Times New Roman"/>
          <w:color w:val="auto"/>
          <w:kern w:val="0"/>
          <w:sz w:val="24"/>
          <w:szCs w:val="24"/>
          <w14:ligatures w14:val="none"/>
        </w:rPr>
        <w:t xml:space="preserve">The annual Medicare Part B deductible ($283 for 2026) </w:t>
      </w:r>
    </w:p>
    <w:p w14:paraId="3F4D94CD" w14:textId="77777777" w:rsidR="00FB3456" w:rsidRPr="00FB3456" w:rsidRDefault="00FB3456" w:rsidP="00FB3456">
      <w:pPr>
        <w:numPr>
          <w:ilvl w:val="0"/>
          <w:numId w:val="2"/>
        </w:numPr>
        <w:spacing w:after="100" w:afterAutospacing="1" w:line="240" w:lineRule="auto"/>
        <w:rPr>
          <w:rFonts w:eastAsia="Times New Roman"/>
          <w:color w:val="auto"/>
          <w:kern w:val="0"/>
          <w:sz w:val="24"/>
          <w:szCs w:val="24"/>
          <w14:ligatures w14:val="none"/>
        </w:rPr>
      </w:pPr>
      <w:r w:rsidRPr="00FB3456">
        <w:rPr>
          <w:rFonts w:eastAsia="Times New Roman"/>
          <w:color w:val="auto"/>
          <w:kern w:val="0"/>
          <w:sz w:val="24"/>
          <w:szCs w:val="24"/>
          <w14:ligatures w14:val="none"/>
        </w:rPr>
        <w:t xml:space="preserve">Up to $20 doctor visit copays </w:t>
      </w:r>
    </w:p>
    <w:p w14:paraId="1E525856" w14:textId="77777777" w:rsidR="00FB3456" w:rsidRPr="00FB3456" w:rsidRDefault="00FB3456" w:rsidP="00FB3456">
      <w:pPr>
        <w:numPr>
          <w:ilvl w:val="0"/>
          <w:numId w:val="2"/>
        </w:numPr>
        <w:spacing w:after="100" w:afterAutospacing="1" w:line="240" w:lineRule="auto"/>
        <w:rPr>
          <w:rFonts w:eastAsia="Times New Roman"/>
          <w:color w:val="auto"/>
          <w:kern w:val="0"/>
          <w:sz w:val="24"/>
          <w:szCs w:val="24"/>
          <w14:ligatures w14:val="none"/>
        </w:rPr>
      </w:pPr>
      <w:r w:rsidRPr="00FB3456">
        <w:rPr>
          <w:rFonts w:eastAsia="Times New Roman"/>
          <w:color w:val="auto"/>
          <w:kern w:val="0"/>
          <w:sz w:val="24"/>
          <w:szCs w:val="24"/>
          <w14:ligatures w14:val="none"/>
        </w:rPr>
        <w:t xml:space="preserve">Up to $50 emergency room copays (waived if admitted as an inpatient) </w:t>
      </w:r>
    </w:p>
    <w:p w14:paraId="5813A93E" w14:textId="77777777" w:rsidR="00FB3456" w:rsidRPr="00FB3456" w:rsidRDefault="00FB3456" w:rsidP="00FB3456">
      <w:pPr>
        <w:numPr>
          <w:ilvl w:val="0"/>
          <w:numId w:val="2"/>
        </w:numPr>
        <w:spacing w:after="100" w:afterAutospacing="1" w:line="240" w:lineRule="auto"/>
        <w:rPr>
          <w:rFonts w:eastAsia="Times New Roman"/>
          <w:color w:val="auto"/>
          <w:kern w:val="0"/>
          <w:sz w:val="24"/>
          <w:szCs w:val="24"/>
          <w14:ligatures w14:val="none"/>
        </w:rPr>
      </w:pPr>
      <w:r w:rsidRPr="00FB3456">
        <w:rPr>
          <w:rFonts w:eastAsia="Times New Roman"/>
          <w:color w:val="auto"/>
          <w:kern w:val="0"/>
          <w:sz w:val="24"/>
          <w:szCs w:val="24"/>
          <w14:ligatures w14:val="none"/>
        </w:rPr>
        <w:t xml:space="preserve">Part B excess charges (if a doctor does not accept assignment, which doctors can bill up to 15% above the Medicare-approved amount) </w:t>
      </w:r>
    </w:p>
    <w:p w14:paraId="05508CBD" w14:textId="77777777" w:rsidR="00FB3456" w:rsidRPr="00FB3456" w:rsidRDefault="00FB3456" w:rsidP="00FB3456">
      <w:pPr>
        <w:spacing w:after="100" w:afterAutospacing="1" w:line="240" w:lineRule="auto"/>
        <w:rPr>
          <w:rFonts w:eastAsia="Times New Roman"/>
          <w:color w:val="auto"/>
          <w:kern w:val="0"/>
          <w:sz w:val="24"/>
          <w:szCs w:val="24"/>
          <w14:ligatures w14:val="none"/>
        </w:rPr>
      </w:pPr>
      <w:r w:rsidRPr="00FB3456">
        <w:rPr>
          <w:rFonts w:eastAsia="Times New Roman"/>
          <w:color w:val="auto"/>
          <w:kern w:val="0"/>
          <w:sz w:val="24"/>
          <w:szCs w:val="24"/>
          <w14:ligatures w14:val="none"/>
        </w:rPr>
        <w:t xml:space="preserve">Plan N offers a strong combination of comprehensive benefits and value among standardized Medicare Supplement plans. </w:t>
      </w:r>
    </w:p>
    <w:p w14:paraId="7E33E0A2" w14:textId="77777777" w:rsidR="00FB3456" w:rsidRPr="00FB3456" w:rsidRDefault="00FB3456" w:rsidP="00FB3456">
      <w:pPr>
        <w:spacing w:after="100" w:afterAutospacing="1" w:line="240" w:lineRule="auto"/>
        <w:outlineLvl w:val="2"/>
        <w:rPr>
          <w:rFonts w:eastAsia="Times New Roman"/>
          <w:b/>
          <w:bCs/>
          <w:color w:val="auto"/>
          <w:kern w:val="0"/>
          <w:sz w:val="27"/>
          <w:szCs w:val="27"/>
          <w14:ligatures w14:val="none"/>
        </w:rPr>
      </w:pPr>
      <w:r w:rsidRPr="00FB3456">
        <w:rPr>
          <w:rFonts w:eastAsia="Times New Roman"/>
          <w:b/>
          <w:bCs/>
          <w:color w:val="auto"/>
          <w:kern w:val="0"/>
          <w:sz w:val="27"/>
          <w:szCs w:val="27"/>
          <w14:ligatures w14:val="none"/>
        </w:rPr>
        <w:t>Features and Benefits</w:t>
      </w:r>
    </w:p>
    <w:p w14:paraId="273DACFA"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$0 deductible</w:t>
      </w:r>
      <w:r w:rsidRPr="00FB3456">
        <w:rPr>
          <w:rFonts w:eastAsia="Times New Roman"/>
          <w:color w:val="auto"/>
          <w:kern w:val="0"/>
          <w:sz w:val="24"/>
          <w:szCs w:val="24"/>
          <w14:ligatures w14:val="none"/>
        </w:rPr>
        <w:t xml:space="preserve"> for all Part A covered expenses </w:t>
      </w:r>
    </w:p>
    <w:p w14:paraId="0421ABB2"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0% coinsurance</w:t>
      </w:r>
      <w:r w:rsidRPr="00FB3456">
        <w:rPr>
          <w:rFonts w:eastAsia="Times New Roman"/>
          <w:color w:val="auto"/>
          <w:kern w:val="0"/>
          <w:sz w:val="24"/>
          <w:szCs w:val="24"/>
          <w14:ligatures w14:val="none"/>
        </w:rPr>
        <w:t xml:space="preserve"> for Part A and Part B covered expenses </w:t>
      </w:r>
    </w:p>
    <w:p w14:paraId="1AC479F9"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Up to $20 copay</w:t>
      </w:r>
      <w:r w:rsidRPr="00FB3456">
        <w:rPr>
          <w:rFonts w:eastAsia="Times New Roman"/>
          <w:color w:val="auto"/>
          <w:kern w:val="0"/>
          <w:sz w:val="24"/>
          <w:szCs w:val="24"/>
          <w14:ligatures w14:val="none"/>
        </w:rPr>
        <w:t xml:space="preserve"> at the doctor’s office for Medicare-approved services </w:t>
      </w:r>
    </w:p>
    <w:p w14:paraId="7E8802AC"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$0 copay</w:t>
      </w:r>
      <w:r w:rsidRPr="00FB3456">
        <w:rPr>
          <w:rFonts w:eastAsia="Times New Roman"/>
          <w:color w:val="auto"/>
          <w:kern w:val="0"/>
          <w:sz w:val="24"/>
          <w:szCs w:val="24"/>
          <w14:ligatures w14:val="none"/>
        </w:rPr>
        <w:t xml:space="preserve"> for Part A hospital costs, plus an extra 365 days of inpatient hospital coverage after Medicare benefits are exhausted </w:t>
      </w:r>
    </w:p>
    <w:p w14:paraId="42DB69AF"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$0 copay</w:t>
      </w:r>
      <w:r w:rsidRPr="00FB3456">
        <w:rPr>
          <w:rFonts w:eastAsia="Times New Roman"/>
          <w:color w:val="auto"/>
          <w:kern w:val="0"/>
          <w:sz w:val="24"/>
          <w:szCs w:val="24"/>
          <w14:ligatures w14:val="none"/>
        </w:rPr>
        <w:t xml:space="preserve"> for MRI, CT, X-ray, and lab tests </w:t>
      </w:r>
    </w:p>
    <w:p w14:paraId="7672394F"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$0 copay</w:t>
      </w:r>
      <w:r w:rsidRPr="00FB3456">
        <w:rPr>
          <w:rFonts w:eastAsia="Times New Roman"/>
          <w:color w:val="auto"/>
          <w:kern w:val="0"/>
          <w:sz w:val="24"/>
          <w:szCs w:val="24"/>
          <w14:ligatures w14:val="none"/>
        </w:rPr>
        <w:t xml:space="preserve"> for ambulance services </w:t>
      </w:r>
    </w:p>
    <w:p w14:paraId="170D8AA1"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Up to $50 copay</w:t>
      </w:r>
      <w:r w:rsidRPr="00FB3456">
        <w:rPr>
          <w:rFonts w:eastAsia="Times New Roman"/>
          <w:color w:val="auto"/>
          <w:kern w:val="0"/>
          <w:sz w:val="24"/>
          <w:szCs w:val="24"/>
          <w14:ligatures w14:val="none"/>
        </w:rPr>
        <w:t xml:space="preserve"> for emergency room visits (waived if admitted) </w:t>
      </w:r>
    </w:p>
    <w:p w14:paraId="7D8C10EF"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$0 copay</w:t>
      </w:r>
      <w:r w:rsidRPr="00FB3456">
        <w:rPr>
          <w:rFonts w:eastAsia="Times New Roman"/>
          <w:color w:val="auto"/>
          <w:kern w:val="0"/>
          <w:sz w:val="24"/>
          <w:szCs w:val="24"/>
          <w14:ligatures w14:val="none"/>
        </w:rPr>
        <w:t xml:space="preserve"> for outpatient surgery </w:t>
      </w:r>
    </w:p>
    <w:p w14:paraId="0172A7D9"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Freedom to visit</w:t>
      </w:r>
      <w:r w:rsidRPr="00FB3456">
        <w:rPr>
          <w:rFonts w:eastAsia="Times New Roman"/>
          <w:color w:val="auto"/>
          <w:kern w:val="0"/>
          <w:sz w:val="24"/>
          <w:szCs w:val="24"/>
          <w14:ligatures w14:val="none"/>
        </w:rPr>
        <w:t xml:space="preserve"> any doctor or hospital that accepts Medicare (no provider networks) </w:t>
      </w:r>
    </w:p>
    <w:p w14:paraId="269DEF99"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No referrals</w:t>
      </w:r>
      <w:r w:rsidRPr="00FB3456">
        <w:rPr>
          <w:rFonts w:eastAsia="Times New Roman"/>
          <w:color w:val="auto"/>
          <w:kern w:val="0"/>
          <w:sz w:val="24"/>
          <w:szCs w:val="24"/>
          <w14:ligatures w14:val="none"/>
        </w:rPr>
        <w:t xml:space="preserve"> required </w:t>
      </w:r>
    </w:p>
    <w:p w14:paraId="13FD8A2A"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No pre-authorization</w:t>
      </w:r>
      <w:r w:rsidRPr="00FB3456">
        <w:rPr>
          <w:rFonts w:eastAsia="Times New Roman"/>
          <w:color w:val="auto"/>
          <w:kern w:val="0"/>
          <w:sz w:val="24"/>
          <w:szCs w:val="24"/>
          <w14:ligatures w14:val="none"/>
        </w:rPr>
        <w:t xml:space="preserve"> required by the plan for procedures </w:t>
      </w:r>
    </w:p>
    <w:p w14:paraId="00AA3A7A"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Nationwide coverage</w:t>
      </w:r>
      <w:r w:rsidRPr="00FB3456">
        <w:rPr>
          <w:rFonts w:eastAsia="Times New Roman"/>
          <w:color w:val="auto"/>
          <w:kern w:val="0"/>
          <w:sz w:val="24"/>
          <w:szCs w:val="24"/>
          <w14:ligatures w14:val="none"/>
        </w:rPr>
        <w:t xml:space="preserve"> — good in all 50 states </w:t>
      </w:r>
    </w:p>
    <w:p w14:paraId="1D92018C"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Foreign Travel Emergency Coverage:</w:t>
      </w:r>
      <w:r w:rsidRPr="00FB3456">
        <w:rPr>
          <w:rFonts w:eastAsia="Times New Roman"/>
          <w:color w:val="auto"/>
          <w:kern w:val="0"/>
          <w:sz w:val="24"/>
          <w:szCs w:val="24"/>
          <w14:ligatures w14:val="none"/>
        </w:rPr>
        <w:t xml:space="preserve"> 80% of approved out-of-pocket costs for emergency care outside the U.S. (after a $250 deductible, up to a $50,000 lifetime maximum; emergency must begin within the first 60 days of travel) </w:t>
      </w:r>
    </w:p>
    <w:p w14:paraId="055221EE"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Electronic claims filing</w:t>
      </w:r>
      <w:r w:rsidRPr="00FB3456">
        <w:rPr>
          <w:rFonts w:eastAsia="Times New Roman"/>
          <w:color w:val="auto"/>
          <w:kern w:val="0"/>
          <w:sz w:val="24"/>
          <w:szCs w:val="24"/>
          <w14:ligatures w14:val="none"/>
        </w:rPr>
        <w:t xml:space="preserve"> included </w:t>
      </w:r>
    </w:p>
    <w:p w14:paraId="3AEC686D"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Helps preserve</w:t>
      </w:r>
      <w:r w:rsidRPr="00FB3456">
        <w:rPr>
          <w:rFonts w:eastAsia="Times New Roman"/>
          <w:color w:val="auto"/>
          <w:kern w:val="0"/>
          <w:sz w:val="24"/>
          <w:szCs w:val="24"/>
          <w14:ligatures w14:val="none"/>
        </w:rPr>
        <w:t xml:space="preserve"> your hospital “lifetime reserve days” </w:t>
      </w:r>
    </w:p>
    <w:p w14:paraId="1A6EE395"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No lock-in period</w:t>
      </w:r>
      <w:r w:rsidRPr="00FB3456">
        <w:rPr>
          <w:rFonts w:eastAsia="Times New Roman"/>
          <w:color w:val="auto"/>
          <w:kern w:val="0"/>
          <w:sz w:val="24"/>
          <w:szCs w:val="24"/>
          <w14:ligatures w14:val="none"/>
        </w:rPr>
        <w:t xml:space="preserve"> </w:t>
      </w:r>
    </w:p>
    <w:p w14:paraId="2B1D97A2"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You keep Traditional Medicare</w:t>
      </w:r>
      <w:r w:rsidRPr="00FB3456">
        <w:rPr>
          <w:rFonts w:eastAsia="Times New Roman"/>
          <w:color w:val="auto"/>
          <w:kern w:val="0"/>
          <w:sz w:val="24"/>
          <w:szCs w:val="24"/>
          <w14:ligatures w14:val="none"/>
        </w:rPr>
        <w:t xml:space="preserve"> Parts A &amp; B </w:t>
      </w:r>
    </w:p>
    <w:p w14:paraId="294EE6CA" w14:textId="77777777" w:rsidR="00FB3456" w:rsidRPr="00FB3456" w:rsidRDefault="00FB3456" w:rsidP="00FB3456">
      <w:pPr>
        <w:numPr>
          <w:ilvl w:val="0"/>
          <w:numId w:val="3"/>
        </w:num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30-day "Free Look"</w:t>
      </w:r>
      <w:r w:rsidRPr="00FB3456">
        <w:rPr>
          <w:rFonts w:eastAsia="Times New Roman"/>
          <w:color w:val="auto"/>
          <w:kern w:val="0"/>
          <w:sz w:val="24"/>
          <w:szCs w:val="24"/>
          <w14:ligatures w14:val="none"/>
        </w:rPr>
        <w:t xml:space="preserve"> money-back guarantee from the date your policy is issued </w:t>
      </w:r>
    </w:p>
    <w:p w14:paraId="52F88B0E" w14:textId="77777777" w:rsidR="00FB3456" w:rsidRPr="00FB3456" w:rsidRDefault="00FB3456" w:rsidP="00FB3456">
      <w:pPr>
        <w:spacing w:after="100" w:afterAutospacing="1" w:line="240" w:lineRule="auto"/>
        <w:rPr>
          <w:rFonts w:eastAsia="Times New Roman"/>
          <w:color w:val="auto"/>
          <w:kern w:val="0"/>
          <w:sz w:val="24"/>
          <w:szCs w:val="24"/>
          <w14:ligatures w14:val="none"/>
        </w:rPr>
      </w:pPr>
      <w:r w:rsidRPr="00FB3456">
        <w:rPr>
          <w:rFonts w:eastAsia="Times New Roman"/>
          <w:color w:val="auto"/>
          <w:kern w:val="0"/>
          <w:sz w:val="24"/>
          <w:szCs w:val="24"/>
          <w14:ligatures w14:val="none"/>
        </w:rPr>
        <w:t xml:space="preserve">You may also purchase an optional stand-alone Part D prescription drug plan for an additional premium. </w:t>
      </w:r>
    </w:p>
    <w:p w14:paraId="3C159126" w14:textId="77777777" w:rsidR="00FB3456" w:rsidRDefault="00FB3456" w:rsidP="00FB3456">
      <w:pPr>
        <w:spacing w:after="100" w:afterAutospacing="1" w:line="240" w:lineRule="auto"/>
        <w:outlineLvl w:val="2"/>
        <w:rPr>
          <w:rFonts w:eastAsia="Times New Roman"/>
          <w:b/>
          <w:bCs/>
          <w:color w:val="auto"/>
          <w:kern w:val="0"/>
          <w:sz w:val="27"/>
          <w:szCs w:val="27"/>
          <w14:ligatures w14:val="none"/>
        </w:rPr>
      </w:pPr>
    </w:p>
    <w:p w14:paraId="23FB705A" w14:textId="0FD366A5" w:rsidR="00FB3456" w:rsidRPr="00FB3456" w:rsidRDefault="00FB3456" w:rsidP="00FB3456">
      <w:pPr>
        <w:spacing w:after="100" w:afterAutospacing="1" w:line="240" w:lineRule="auto"/>
        <w:jc w:val="center"/>
        <w:outlineLvl w:val="2"/>
        <w:rPr>
          <w:rFonts w:eastAsia="Times New Roman"/>
          <w:b/>
          <w:bCs/>
          <w:color w:val="auto"/>
          <w:kern w:val="0"/>
          <w:sz w:val="27"/>
          <w:szCs w:val="27"/>
          <w14:ligatures w14:val="none"/>
        </w:rPr>
      </w:pPr>
      <w:r w:rsidRPr="00FB3456">
        <w:rPr>
          <w:rFonts w:eastAsia="Times New Roman"/>
          <w:b/>
          <w:bCs/>
          <w:color w:val="auto"/>
          <w:kern w:val="0"/>
          <w:sz w:val="27"/>
          <w:szCs w:val="27"/>
          <w14:ligatures w14:val="none"/>
        </w:rPr>
        <w:t>Why Your Insurance Company Matters</w:t>
      </w:r>
    </w:p>
    <w:p w14:paraId="0012057D" w14:textId="77777777" w:rsidR="00FB3456" w:rsidRPr="00FB3456" w:rsidRDefault="00FB3456" w:rsidP="00FB3456">
      <w:pPr>
        <w:spacing w:after="100" w:afterAutospacing="1" w:line="240" w:lineRule="auto"/>
        <w:rPr>
          <w:rFonts w:eastAsia="Times New Roman"/>
          <w:color w:val="auto"/>
          <w:kern w:val="0"/>
          <w:sz w:val="24"/>
          <w:szCs w:val="24"/>
          <w14:ligatures w14:val="none"/>
        </w:rPr>
      </w:pPr>
      <w:r w:rsidRPr="00FB3456">
        <w:rPr>
          <w:rFonts w:eastAsia="Times New Roman"/>
          <w:color w:val="auto"/>
          <w:kern w:val="0"/>
          <w:sz w:val="24"/>
          <w:szCs w:val="24"/>
          <w14:ligatures w14:val="none"/>
        </w:rPr>
        <w:t xml:space="preserve">Medicare Supplement policies are standardized, meaning the core medical benefits are identical regardless of which insurance company you choose. However, premium rates, underwriting rules, customer service, and future rate increases vary by carrier. Selecting a stable, reputable carrier is important. </w:t>
      </w:r>
    </w:p>
    <w:p w14:paraId="4E694940" w14:textId="77777777" w:rsidR="00FB3456" w:rsidRPr="00FB3456" w:rsidRDefault="00FB3456" w:rsidP="00FB3456">
      <w:pPr>
        <w:spacing w:after="100" w:afterAutospacing="1" w:line="240" w:lineRule="auto"/>
        <w:rPr>
          <w:rFonts w:eastAsia="Times New Roman"/>
          <w:color w:val="auto"/>
          <w:kern w:val="0"/>
          <w:sz w:val="24"/>
          <w:szCs w:val="24"/>
          <w14:ligatures w14:val="none"/>
        </w:rPr>
      </w:pPr>
      <w:r w:rsidRPr="00FB3456">
        <w:rPr>
          <w:rFonts w:eastAsia="Times New Roman"/>
          <w:b/>
          <w:bCs/>
          <w:color w:val="auto"/>
          <w:kern w:val="0"/>
          <w:sz w:val="24"/>
          <w:szCs w:val="24"/>
          <w14:ligatures w14:val="none"/>
        </w:rPr>
        <w:t>Important Policy Notes:</w:t>
      </w:r>
      <w:r w:rsidRPr="00FB3456">
        <w:rPr>
          <w:rFonts w:eastAsia="Times New Roman"/>
          <w:color w:val="auto"/>
          <w:kern w:val="0"/>
          <w:sz w:val="24"/>
          <w:szCs w:val="24"/>
          <w14:ligatures w14:val="none"/>
        </w:rPr>
        <w:t xml:space="preserve"> Coverage is subject to Medicare rules, policy terms, and medical underwriting (unless you qualify for a guaranteed issue right). Medigap policies help pay for certain Original Medicare cost-sharing and do not cover every service, such as most routine dental, vision, hearing care, or outpatient prescriptions.</w:t>
      </w:r>
    </w:p>
    <w:p w14:paraId="20D0A2C3" w14:textId="77777777" w:rsidR="002A706A" w:rsidRDefault="002A706A" w:rsidP="002A706A">
      <w:pPr>
        <w:spacing w:before="100" w:beforeAutospacing="1" w:after="100" w:afterAutospacing="1" w:line="240" w:lineRule="auto"/>
        <w:jc w:val="center"/>
        <w:outlineLvl w:val="1"/>
        <w:rPr>
          <w:rFonts w:eastAsia="Times New Roman"/>
          <w:b/>
          <w:bCs/>
          <w:color w:val="auto"/>
          <w:kern w:val="0"/>
          <w:sz w:val="32"/>
          <w:szCs w:val="32"/>
          <w14:ligatures w14:val="none"/>
        </w:rPr>
      </w:pPr>
    </w:p>
    <w:p w14:paraId="4296AC6F" w14:textId="4015AD1A" w:rsidR="00C11929" w:rsidRPr="002A706A" w:rsidRDefault="00C11929" w:rsidP="002A706A">
      <w:pPr>
        <w:spacing w:before="100" w:beforeAutospacing="1" w:after="100" w:afterAutospacing="1" w:line="240" w:lineRule="auto"/>
        <w:rPr>
          <w:rFonts w:eastAsia="Times New Roman"/>
          <w:color w:val="auto"/>
          <w:kern w:val="0"/>
          <w:sz w:val="24"/>
          <w:szCs w:val="24"/>
          <w14:ligatures w14:val="none"/>
        </w:rPr>
      </w:pPr>
    </w:p>
    <w:sectPr w:rsidR="00C11929" w:rsidRPr="002A706A" w:rsidSect="002A706A">
      <w:headerReference w:type="default" r:id="rId7"/>
      <w:footerReference w:type="default" r:id="rId8"/>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83CA6" w14:textId="77777777" w:rsidR="00D963AD" w:rsidRDefault="00D963AD" w:rsidP="002A706A">
      <w:pPr>
        <w:spacing w:after="0" w:line="240" w:lineRule="auto"/>
      </w:pPr>
      <w:r>
        <w:separator/>
      </w:r>
    </w:p>
  </w:endnote>
  <w:endnote w:type="continuationSeparator" w:id="0">
    <w:p w14:paraId="35B091D7" w14:textId="77777777" w:rsidR="00D963AD" w:rsidRDefault="00D963AD" w:rsidP="002A7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0708" w14:textId="77777777" w:rsidR="002A706A" w:rsidRPr="002A706A" w:rsidRDefault="002A706A" w:rsidP="002A706A">
    <w:pPr>
      <w:pStyle w:val="Footer"/>
      <w:jc w:val="center"/>
      <w:rPr>
        <w:sz w:val="24"/>
        <w:szCs w:val="24"/>
      </w:rPr>
    </w:pPr>
    <w:r w:rsidRPr="002A706A">
      <w:rPr>
        <w:sz w:val="24"/>
        <w:szCs w:val="24"/>
      </w:rPr>
      <w:t xml:space="preserve">John T. Allen Sr., </w:t>
    </w:r>
    <w:proofErr w:type="gramStart"/>
    <w:r w:rsidRPr="002A706A">
      <w:rPr>
        <w:sz w:val="24"/>
        <w:szCs w:val="24"/>
      </w:rPr>
      <w:t>CLU  |</w:t>
    </w:r>
    <w:proofErr w:type="gramEnd"/>
    <w:r w:rsidRPr="002A706A">
      <w:rPr>
        <w:sz w:val="24"/>
        <w:szCs w:val="24"/>
      </w:rPr>
      <w:t xml:space="preserve">  287 Oakwood Drive, Mandeville, LA 70448</w:t>
    </w:r>
  </w:p>
  <w:p w14:paraId="333CB92A" w14:textId="77777777" w:rsidR="002A706A" w:rsidRPr="002A706A" w:rsidRDefault="002A706A" w:rsidP="002A706A">
    <w:pPr>
      <w:pStyle w:val="Footer"/>
      <w:jc w:val="center"/>
      <w:rPr>
        <w:sz w:val="24"/>
        <w:szCs w:val="24"/>
      </w:rPr>
    </w:pPr>
  </w:p>
  <w:p w14:paraId="57D35EFB" w14:textId="09A1EBB6" w:rsidR="002A706A" w:rsidRPr="002A706A" w:rsidRDefault="002A706A" w:rsidP="002A706A">
    <w:pPr>
      <w:pStyle w:val="Footer"/>
      <w:jc w:val="center"/>
      <w:rPr>
        <w:sz w:val="24"/>
        <w:szCs w:val="24"/>
      </w:rPr>
    </w:pPr>
    <w:r w:rsidRPr="002A706A">
      <w:rPr>
        <w:sz w:val="24"/>
        <w:szCs w:val="24"/>
      </w:rPr>
      <w:t>Call (800) 335-</w:t>
    </w:r>
    <w:proofErr w:type="gramStart"/>
    <w:r w:rsidRPr="002A706A">
      <w:rPr>
        <w:sz w:val="24"/>
        <w:szCs w:val="24"/>
      </w:rPr>
      <w:t>0639  |</w:t>
    </w:r>
    <w:proofErr w:type="gramEnd"/>
    <w:r w:rsidRPr="002A706A">
      <w:rPr>
        <w:sz w:val="24"/>
        <w:szCs w:val="24"/>
      </w:rPr>
      <w:t xml:space="preserve">  (985) 892-1862 (or </w:t>
    </w:r>
    <w:proofErr w:type="gramStart"/>
    <w:r w:rsidRPr="002A706A">
      <w:rPr>
        <w:sz w:val="24"/>
        <w:szCs w:val="24"/>
      </w:rPr>
      <w:t>text)  |</w:t>
    </w:r>
    <w:proofErr w:type="gramEnd"/>
    <w:r w:rsidRPr="002A706A">
      <w:rPr>
        <w:sz w:val="24"/>
        <w:szCs w:val="24"/>
      </w:rPr>
      <w:t xml:space="preserve">  </w:t>
    </w:r>
    <w:proofErr w:type="gramStart"/>
    <w:r w:rsidRPr="002A706A">
      <w:rPr>
        <w:sz w:val="24"/>
        <w:szCs w:val="24"/>
      </w:rPr>
      <w:t>J@JohnTAllen.com  |</w:t>
    </w:r>
    <w:proofErr w:type="gramEnd"/>
    <w:r w:rsidRPr="002A706A">
      <w:rPr>
        <w:sz w:val="24"/>
        <w:szCs w:val="24"/>
      </w:rPr>
      <w:t xml:space="preserve">  www.JohnTAllen.com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8288F" w14:textId="77777777" w:rsidR="00D963AD" w:rsidRDefault="00D963AD" w:rsidP="002A706A">
      <w:pPr>
        <w:spacing w:after="0" w:line="240" w:lineRule="auto"/>
      </w:pPr>
      <w:r>
        <w:separator/>
      </w:r>
    </w:p>
  </w:footnote>
  <w:footnote w:type="continuationSeparator" w:id="0">
    <w:p w14:paraId="7D3508C2" w14:textId="77777777" w:rsidR="00D963AD" w:rsidRDefault="00D963AD" w:rsidP="002A7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377E" w14:textId="567D0836" w:rsidR="002A706A" w:rsidRDefault="002A706A" w:rsidP="002A706A">
    <w:pPr>
      <w:pStyle w:val="Header"/>
      <w:jc w:val="center"/>
    </w:pPr>
    <w:r>
      <w:t>Allen Insurance Agency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30725"/>
    <w:multiLevelType w:val="multilevel"/>
    <w:tmpl w:val="68FE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5B062D"/>
    <w:multiLevelType w:val="multilevel"/>
    <w:tmpl w:val="5960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161401"/>
    <w:multiLevelType w:val="multilevel"/>
    <w:tmpl w:val="4D7E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757379">
    <w:abstractNumId w:val="0"/>
  </w:num>
  <w:num w:numId="2" w16cid:durableId="396779105">
    <w:abstractNumId w:val="1"/>
  </w:num>
  <w:num w:numId="3" w16cid:durableId="433945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82"/>
    <w:rsid w:val="001A1477"/>
    <w:rsid w:val="002A706A"/>
    <w:rsid w:val="00316F45"/>
    <w:rsid w:val="003458F4"/>
    <w:rsid w:val="005761C5"/>
    <w:rsid w:val="00612C82"/>
    <w:rsid w:val="007B413D"/>
    <w:rsid w:val="00C11929"/>
    <w:rsid w:val="00C152CF"/>
    <w:rsid w:val="00D963AD"/>
    <w:rsid w:val="00DA1A20"/>
    <w:rsid w:val="00FA5DFA"/>
    <w:rsid w:val="00FB3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338DA"/>
  <w15:chartTrackingRefBased/>
  <w15:docId w15:val="{234781C2-6D70-4C4B-9906-F52BD521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40C28"/>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C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C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C82"/>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612C8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2C8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2C8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2C8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2C8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2C8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C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C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C82"/>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612C8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12C8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12C8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2C8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2C8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2C8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2C8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12C8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12C82"/>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612C82"/>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612C82"/>
    <w:pPr>
      <w:spacing w:before="160"/>
      <w:jc w:val="center"/>
    </w:pPr>
    <w:rPr>
      <w:i/>
      <w:iCs/>
      <w:color w:val="404040" w:themeColor="text1" w:themeTint="BF"/>
    </w:rPr>
  </w:style>
  <w:style w:type="character" w:customStyle="1" w:styleId="QuoteChar">
    <w:name w:val="Quote Char"/>
    <w:basedOn w:val="DefaultParagraphFont"/>
    <w:link w:val="Quote"/>
    <w:uiPriority w:val="29"/>
    <w:rsid w:val="00612C82"/>
    <w:rPr>
      <w:i/>
      <w:iCs/>
      <w:color w:val="404040" w:themeColor="text1" w:themeTint="BF"/>
    </w:rPr>
  </w:style>
  <w:style w:type="paragraph" w:styleId="ListParagraph">
    <w:name w:val="List Paragraph"/>
    <w:basedOn w:val="Normal"/>
    <w:uiPriority w:val="34"/>
    <w:qFormat/>
    <w:rsid w:val="00612C82"/>
    <w:pPr>
      <w:ind w:left="720"/>
      <w:contextualSpacing/>
    </w:pPr>
  </w:style>
  <w:style w:type="character" w:styleId="IntenseEmphasis">
    <w:name w:val="Intense Emphasis"/>
    <w:basedOn w:val="DefaultParagraphFont"/>
    <w:uiPriority w:val="21"/>
    <w:qFormat/>
    <w:rsid w:val="00612C82"/>
    <w:rPr>
      <w:i/>
      <w:iCs/>
      <w:color w:val="0F4761" w:themeColor="accent1" w:themeShade="BF"/>
    </w:rPr>
  </w:style>
  <w:style w:type="paragraph" w:styleId="IntenseQuote">
    <w:name w:val="Intense Quote"/>
    <w:basedOn w:val="Normal"/>
    <w:next w:val="Normal"/>
    <w:link w:val="IntenseQuoteChar"/>
    <w:uiPriority w:val="30"/>
    <w:qFormat/>
    <w:rsid w:val="00612C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C82"/>
    <w:rPr>
      <w:i/>
      <w:iCs/>
      <w:color w:val="0F4761" w:themeColor="accent1" w:themeShade="BF"/>
    </w:rPr>
  </w:style>
  <w:style w:type="character" w:styleId="IntenseReference">
    <w:name w:val="Intense Reference"/>
    <w:basedOn w:val="DefaultParagraphFont"/>
    <w:uiPriority w:val="32"/>
    <w:qFormat/>
    <w:rsid w:val="00612C82"/>
    <w:rPr>
      <w:b/>
      <w:bCs/>
      <w:smallCaps/>
      <w:color w:val="0F4761" w:themeColor="accent1" w:themeShade="BF"/>
      <w:spacing w:val="5"/>
    </w:rPr>
  </w:style>
  <w:style w:type="paragraph" w:styleId="Header">
    <w:name w:val="header"/>
    <w:basedOn w:val="Normal"/>
    <w:link w:val="HeaderChar"/>
    <w:uiPriority w:val="99"/>
    <w:unhideWhenUsed/>
    <w:rsid w:val="002A7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06A"/>
  </w:style>
  <w:style w:type="paragraph" w:styleId="Footer">
    <w:name w:val="footer"/>
    <w:basedOn w:val="Normal"/>
    <w:link w:val="FooterChar"/>
    <w:uiPriority w:val="99"/>
    <w:unhideWhenUsed/>
    <w:rsid w:val="002A7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381</Words>
  <Characters>2177</Characters>
  <Application>Microsoft Office Word</Application>
  <DocSecurity>0</DocSecurity>
  <Lines>18</Lines>
  <Paragraphs>5</Paragraphs>
  <ScaleCrop>false</ScaleCrop>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Allen, Sr</dc:creator>
  <cp:keywords/>
  <dc:description/>
  <cp:lastModifiedBy>John Allen, Sr</cp:lastModifiedBy>
  <cp:revision>2</cp:revision>
  <dcterms:created xsi:type="dcterms:W3CDTF">2026-10-31T15:06:00Z</dcterms:created>
  <dcterms:modified xsi:type="dcterms:W3CDTF">2026-10-31T15:06:00Z</dcterms:modified>
</cp:coreProperties>
</file>